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55" w:rsidRPr="00646C55" w:rsidRDefault="00646C55" w:rsidP="00646C55">
      <w:pPr>
        <w:pStyle w:val="NormaleWeb"/>
        <w:shd w:val="clear" w:color="auto" w:fill="FFFFFF"/>
        <w:spacing w:line="360" w:lineRule="auto"/>
        <w:jc w:val="both"/>
        <w:rPr>
          <w:color w:val="333333"/>
        </w:rPr>
      </w:pPr>
      <w:r>
        <w:rPr>
          <w:rStyle w:val="Enfasigrassetto"/>
          <w:color w:val="333333"/>
          <w:shd w:val="clear" w:color="auto" w:fill="FFFFFF"/>
        </w:rPr>
        <w:t>S</w:t>
      </w:r>
      <w:r w:rsidRPr="00646C55">
        <w:rPr>
          <w:rStyle w:val="Enfasigrassetto"/>
          <w:color w:val="333333"/>
          <w:shd w:val="clear" w:color="auto" w:fill="FFFFFF"/>
        </w:rPr>
        <w:t xml:space="preserve">eduta n. 69 di </w:t>
      </w:r>
      <w:proofErr w:type="gramStart"/>
      <w:r w:rsidRPr="00646C55">
        <w:rPr>
          <w:rStyle w:val="Enfasigrassetto"/>
          <w:color w:val="333333"/>
          <w:shd w:val="clear" w:color="auto" w:fill="FFFFFF"/>
        </w:rPr>
        <w:t>Martedì</w:t>
      </w:r>
      <w:proofErr w:type="gramEnd"/>
      <w:r w:rsidRPr="00646C55">
        <w:rPr>
          <w:rStyle w:val="Enfasigrassetto"/>
          <w:color w:val="333333"/>
          <w:shd w:val="clear" w:color="auto" w:fill="FFFFFF"/>
        </w:rPr>
        <w:t xml:space="preserve"> 23 ottobre 2018</w:t>
      </w:r>
      <w:r w:rsidRPr="00646C55">
        <w:rPr>
          <w:color w:val="333333"/>
          <w:shd w:val="clear" w:color="auto" w:fill="FFFFFF"/>
        </w:rPr>
        <w:t> </w:t>
      </w:r>
      <w:r w:rsidRPr="00646C55">
        <w:rPr>
          <w:color w:val="333333"/>
        </w:rPr>
        <w:t> </w:t>
      </w:r>
    </w:p>
    <w:p w:rsidR="00646C55" w:rsidRPr="00646C55" w:rsidRDefault="00646C55" w:rsidP="00646C55">
      <w:pPr>
        <w:pStyle w:val="NormaleWeb"/>
        <w:shd w:val="clear" w:color="auto" w:fill="FFFFFF"/>
        <w:spacing w:line="360" w:lineRule="auto"/>
        <w:jc w:val="both"/>
        <w:rPr>
          <w:b/>
          <w:color w:val="333333"/>
        </w:rPr>
      </w:pPr>
      <w:r w:rsidRPr="00646C55">
        <w:rPr>
          <w:b/>
          <w:color w:val="333333"/>
        </w:rPr>
        <w:t>Atto Camera (1-00065) «D'Uva, Molinari» concernente iniziative per il rilancio del Mezzogiorno</w:t>
      </w:r>
    </w:p>
    <w:p w:rsidR="00646C55" w:rsidRPr="00646C55" w:rsidRDefault="00646C55" w:rsidP="00646C55">
      <w:pPr>
        <w:pStyle w:val="NormaleWeb"/>
        <w:shd w:val="clear" w:color="auto" w:fill="FFFFFF"/>
        <w:spacing w:line="360" w:lineRule="auto"/>
        <w:jc w:val="both"/>
        <w:rPr>
          <w:color w:val="333333"/>
        </w:rPr>
      </w:pPr>
    </w:p>
    <w:p w:rsidR="00646C55" w:rsidRPr="00646C55" w:rsidRDefault="00646C55" w:rsidP="00646C55">
      <w:pPr>
        <w:pStyle w:val="NormaleWeb"/>
        <w:shd w:val="clear" w:color="auto" w:fill="FFFFFF"/>
        <w:spacing w:line="360" w:lineRule="auto"/>
        <w:jc w:val="both"/>
        <w:rPr>
          <w:color w:val="333333"/>
        </w:rPr>
      </w:pPr>
      <w:r w:rsidRPr="00646C55">
        <w:rPr>
          <w:color w:val="333333"/>
        </w:rPr>
        <w:t>La Camera,</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premesso che: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i dati pubblicati dall'Istat relativi all'anno 2017 evidenziano ancora un grande divario tra Nord e Sud del Paese in termini di produttività delle imprese e benessere degli abitanti: il tasso di disoccupazione nel Mezzogiorno (19,4 per cento) è tre volte quello del Nord (6,9 per cento) e circa il doppio di quello del Centro (10 per cento); mentre diverse aree d'Italia, soprattutto quelle settentrionali, hanno avviato un percorso di ripresa dalla crisi, con livelli di occupazione tornati vicini a quelli del 2008 (66,7 per cento al Nord e 62,8 per cento nel Centro), il Sud resta ancora indietro di due punti (44 per cento) rispetto alle percentuali del 2008. Il divario occupazionale tra Nord e Sud è di oltre 20 punti, come quello che esiste tra Grecia e Germania. Sempre secondo i dati Istat 2017 le persone che vivono in povertà assoluta in Italia superano i 5 milioni, e la situazione più drammatica si registra al Sud dove oltre uno su dieci vive in condizione di indigenza;</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i dati Istat rilevano che nel 2017 il Pil ha registrato una crescita superiore alla media nazionale nel Nord, con un rialzo dell'1,8 per cento, un incremento lievemente inferiore nel Mezzogiorno, con un aumento dell'1,4 per cento, e un incremento più modesto nel Centro, dove la risalita non è andata oltre lo 0,9 per cento;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 xml:space="preserve">secondo il rapporto </w:t>
      </w:r>
      <w:proofErr w:type="spellStart"/>
      <w:r w:rsidRPr="00646C55">
        <w:rPr>
          <w:color w:val="333333"/>
        </w:rPr>
        <w:t>Svimez</w:t>
      </w:r>
      <w:proofErr w:type="spellEnd"/>
      <w:r w:rsidRPr="00646C55">
        <w:rPr>
          <w:color w:val="333333"/>
        </w:rPr>
        <w:t>, presentato ad agosto 2018, la crescita dell'economia meridionale, nel triennio 2015-2017, ha solo parzialmente recuperato il patrimonio economico e anche sociale disperso dalla crisi nel Sud; tale ripresa è stata trainata dagli investimenti privati, ma non dal contributo della spesa pubblica. I principali punti contenuti nel rapporto sono la forte disomogeneità di ripresa tra le regioni del Mezzogiorno (nel 2017 Calabria, Sardegna e Campania registrano il più alto tasso di sviluppo), l'incremento occupazionale debole e precario, l'ampliamento del disagio sociale, il divario nei servizi pubblici;</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xml:space="preserve">secondo valutazioni di preconsuntivo elaborate dalla </w:t>
      </w:r>
      <w:proofErr w:type="spellStart"/>
      <w:r w:rsidRPr="00646C55">
        <w:rPr>
          <w:color w:val="333333"/>
        </w:rPr>
        <w:t>Svimez</w:t>
      </w:r>
      <w:proofErr w:type="spellEnd"/>
      <w:r w:rsidRPr="00646C55">
        <w:rPr>
          <w:color w:val="333333"/>
        </w:rPr>
        <w:t xml:space="preserve">, nel 2017 il Pil è aumentato nel Mezzogiorno dell'1,4 per cento, con un incremento rilevante rispetto al 2016 (0,8 per cento). La </w:t>
      </w:r>
      <w:r w:rsidRPr="00646C55">
        <w:rPr>
          <w:color w:val="333333"/>
        </w:rPr>
        <w:lastRenderedPageBreak/>
        <w:t>crescita è stata solo marginalmente superiore nel Centro-Nord (1,5 per cento), accelerando anche in quest'area rispetto al 2016 (0,9 per cento). L'incremento è stato quindi inferiore di 0,1 punti a quello rilevato nel resto del Paese in entrambi gli anni. Nonostante questa lieve crescita dopo sette anni di recessione interrotta (2008-2014), l'economia delle regioni meridionali soffre ancora degli effetti della crisi e sconta un forte ritardo non solo dal resto dell'Europa, ma anche dal resto del Paese: il prodotto è ancora inferiore del 10 per cento rispetto al 2007, con un recupero inferiore a oltre la metà di quello registrato nel Centro-Nord (-4,1 per cento);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nel corso del 2017 l'incremento dell'occupazione meridionale è dovuto quasi esclusivamente alla crescita dei contratti a termine (+61 mila, pari al +7,5 per cento), mentre sono stazionari quelli a tempo indeterminato (+0,2 per cento). Vi è stata una brusca frenata di questi ultimi rispetto alla crescita del 2,5 per cento nel 2016, il che dimostra che sono venuti meno gli effetti positivi degli sgravi contributivi per le nuove assunzioni al Sud, introdotto nel 2016 e confermato negli anni successivi ma in un clima di incertezza. I dati relativi al primo trimestre 2018, anno in cui lo sgravio è stato ampliato nella platea dei beneficiari, mostrano un nuovo incremento delle stabilizzazioni e dimostrano che le misure di decontribuzione hanno un effetto significativo solo se certe nel tempo;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negli ultimi anni il peggioramento qualitativo del mercato del lavoro e la crescente precarizzazione hanno determinato, soprattutto nel Mezzogiorno, livelli di povertà crescenti, nonché un incremento delle occupazioni a bassa qualifica e a bassa retribuzione;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 xml:space="preserve">il rapporto </w:t>
      </w:r>
      <w:proofErr w:type="spellStart"/>
      <w:r w:rsidRPr="00646C55">
        <w:rPr>
          <w:color w:val="333333"/>
        </w:rPr>
        <w:t>Svimez</w:t>
      </w:r>
      <w:proofErr w:type="spellEnd"/>
      <w:r w:rsidRPr="00646C55">
        <w:rPr>
          <w:color w:val="333333"/>
        </w:rPr>
        <w:t xml:space="preserve"> evidenzia, altresì, un peggioramento del saldo migratorio dal Mezzogiorno, che è passato da -51,1 mila nel 2015 a -56,4 mila nel 2016, con una perdita di oltre 131 mila residenti. Gli emigranti che dal Sud si trasferiscono nel Centro-Nord sono individui prevalentemente in età lavorativa e con elevato titolo di studio. Negli ultimi 16 anni hanno lasciato il Meridione 1 milione e 883 mila residenti, di cui la metà giovani tra i 15 e i 34 anni, quasi un quinto di laureati, il 16 per cento si è trasferito all'estero;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 xml:space="preserve">particolarmente significativo risulta il dato relativo alle immatricolazioni universitarie: 175 mila studenti, soltanto nel 2017, secondo lo </w:t>
      </w:r>
      <w:proofErr w:type="spellStart"/>
      <w:r w:rsidRPr="00646C55">
        <w:rPr>
          <w:color w:val="333333"/>
        </w:rPr>
        <w:t>Svimez</w:t>
      </w:r>
      <w:proofErr w:type="spellEnd"/>
      <w:r w:rsidRPr="00646C55">
        <w:rPr>
          <w:color w:val="333333"/>
        </w:rPr>
        <w:t>, hanno scelto atenei del Centro-Nord che hanno registrato un flusso inverso di appena 18 mila studenti. Questo dato evidenzia un ulteriore massiccio fenomeno migratorio, che incide sui processi di desertificazione delle fasce demografiche meridionali giovanili, con una incidenza peraltro maggiore nelle grandi aree urbane e nei nuclei familiari con capacità di spesa medio-alte, contribuendo alla sottrazione di importanti indici di consumo interno;</w:t>
      </w:r>
    </w:p>
    <w:p w:rsidR="00646C55" w:rsidRPr="00646C55" w:rsidRDefault="00646C55" w:rsidP="00646C55">
      <w:pPr>
        <w:pStyle w:val="NormaleWeb"/>
        <w:shd w:val="clear" w:color="auto" w:fill="FFFFFF"/>
        <w:spacing w:line="360" w:lineRule="auto"/>
        <w:jc w:val="both"/>
        <w:rPr>
          <w:color w:val="333333"/>
        </w:rPr>
      </w:pPr>
      <w:r w:rsidRPr="00646C55">
        <w:rPr>
          <w:color w:val="333333"/>
        </w:rPr>
        <w:lastRenderedPageBreak/>
        <w:t> </w:t>
      </w:r>
      <w:r w:rsidRPr="00646C55">
        <w:rPr>
          <w:color w:val="333333"/>
        </w:rPr>
        <w:t> </w:t>
      </w:r>
      <w:r w:rsidRPr="00646C55">
        <w:rPr>
          <w:color w:val="333333"/>
        </w:rPr>
        <w:t> </w:t>
      </w:r>
      <w:r w:rsidRPr="00646C55">
        <w:rPr>
          <w:color w:val="333333"/>
        </w:rPr>
        <w:t> </w:t>
      </w:r>
      <w:r w:rsidRPr="00646C55">
        <w:rPr>
          <w:color w:val="333333"/>
        </w:rPr>
        <w:t>secondo l'</w:t>
      </w:r>
      <w:proofErr w:type="spellStart"/>
      <w:r w:rsidRPr="00646C55">
        <w:rPr>
          <w:color w:val="333333"/>
        </w:rPr>
        <w:t>Anvur</w:t>
      </w:r>
      <w:proofErr w:type="spellEnd"/>
      <w:r w:rsidRPr="00646C55">
        <w:rPr>
          <w:color w:val="333333"/>
        </w:rPr>
        <w:t>, l'Agenzia nazionale per la valutazione del sistema universitario e della ricerca, il motivo principale non consiste tanto nel fatto che gli studenti ritengano gli atenei del Nord migliori di quelli del Sud, quanto nel fatto che il tessuto economico nel quale sono inseriti è molto più ricettivo di quello nel quale insistono le università meridionali in termini di servizi e di occupazione. Inoltre, le università meridionali sono state costrette in molti casi a ridurre l'offerta di corsi di studio a causa del progressivo venir meno dei finanziamenti. Questo evidenzia, ancora una volta, l'insufficienza infrastrutturale e delle politiche per il diritto allo studio nelle regioni meridionali, caratterizzate da una scarsa offerta di </w:t>
      </w:r>
      <w:r w:rsidRPr="00646C55">
        <w:rPr>
          <w:rStyle w:val="Enfasicorsivo"/>
          <w:color w:val="333333"/>
        </w:rPr>
        <w:t xml:space="preserve">social </w:t>
      </w:r>
      <w:proofErr w:type="spellStart"/>
      <w:r w:rsidRPr="00646C55">
        <w:rPr>
          <w:rStyle w:val="Enfasicorsivo"/>
          <w:color w:val="333333"/>
        </w:rPr>
        <w:t>housing</w:t>
      </w:r>
      <w:proofErr w:type="spellEnd"/>
      <w:r w:rsidRPr="00646C55">
        <w:rPr>
          <w:rStyle w:val="Enfasicorsivo"/>
          <w:color w:val="333333"/>
        </w:rPr>
        <w:t> </w:t>
      </w:r>
      <w:r w:rsidRPr="00646C55">
        <w:rPr>
          <w:color w:val="333333"/>
        </w:rPr>
        <w:t>e di borse di studio;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oggi, nello stato generale di rallentata crescita in cui, purtroppo, si ritrova il nostro Paese, anche grazie alle scarse politiche espansive dei governi precedenti, la migrazione, per gli italiani, in larga parte residenti nel Sud Italia, è diventata nuovamente, come in passato, l'unica possibilità per assicurarsi un'occupazione e un maggiore benessere economico;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in questo modo, la mobilità, nel nostro Paese, diventa esclusivamente unidirezionale, dall'Italia del Sud verso il Nord Italia e verso l'estero. L'esigenza, quindi, non è solo quella di agire sull'esodo, ma anche di favorire il rientro del nostro straordinario «Capitale Umano»;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a conferma della unidirezionalità del fenomeno migratorio è sufficiente citare alcuni numeri: dal 2006 al 2017 la mobilità italiana è aumentata del 60,1 per cento, passando da poco più di 3 milioni a quasi 5 milioni di iscritti. Al 1° gennaio 2017, infatti, gli italiani residenti fuori dei confini nazionali e iscritti all'Anagrafe degli italiani residenti all'estero (Aire) sono 4.973.942, l'8,2 per cento degli oltre 60,5 milioni di residenti in Italia alla stessa data. I numeri dell'emorragia sono impressionanti e in crescita: i dati Istat parlano di 114.000 uscite nel 2016 (e quelli Ocse di 172.000 nel 2017), ma si tratta di dati basati sulle cancellazioni dalle anagrafi nazionali che quindi sottostimano pesantemente il fenomeno, e dovrebbero essere aumentate di almeno 2,5 volte: calcoli incrociati sull'emigrazione reale spaziano da 125 mila a 300 mila persone. Il problema è aggravato dal fatto che il 30 per cento di chi si trasferisce all'estero per lavoro è laureato; i giovani, la fascia dai 18-39 anni, rappresentano il 40 per cento. Quanto al titolo di studi si può stimare, per il 2016, un totale di 34 mila laureati e 39 mila diplomati. Tutto ciò non può lasciare indifferente il legislatore chiamato a trovare soluzioni finalizzate a far ritornare il Sud un polo di attrazione economico, culturale e intellettuale (il cosiddetto «Rientro dei Cervelli»);</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gli indicatori sugli </w:t>
      </w:r>
      <w:r w:rsidRPr="00646C55">
        <w:rPr>
          <w:rStyle w:val="Enfasicorsivo"/>
          <w:color w:val="333333"/>
        </w:rPr>
        <w:t>standard</w:t>
      </w:r>
      <w:r w:rsidRPr="00646C55">
        <w:rPr>
          <w:color w:val="333333"/>
        </w:rPr>
        <w:t> dei servizi pubblici documentano un ampliamento delle diseguaglianze territoriali e del divario tra Nord e Sud, soprattutto in relazione al settore dei servizi socio-sanitari che maggiormente impatta sulla qualità della vita e sui redditi delle famiglie;</w:t>
      </w:r>
    </w:p>
    <w:p w:rsidR="00646C55" w:rsidRPr="00646C55" w:rsidRDefault="00646C55" w:rsidP="00646C55">
      <w:pPr>
        <w:pStyle w:val="NormaleWeb"/>
        <w:shd w:val="clear" w:color="auto" w:fill="FFFFFF"/>
        <w:spacing w:line="360" w:lineRule="auto"/>
        <w:jc w:val="both"/>
        <w:rPr>
          <w:color w:val="333333"/>
        </w:rPr>
      </w:pPr>
      <w:r w:rsidRPr="00646C55">
        <w:rPr>
          <w:color w:val="333333"/>
        </w:rPr>
        <w:lastRenderedPageBreak/>
        <w:t> </w:t>
      </w:r>
      <w:r w:rsidRPr="00646C55">
        <w:rPr>
          <w:color w:val="333333"/>
        </w:rPr>
        <w:t> </w:t>
      </w:r>
      <w:r w:rsidRPr="00646C55">
        <w:rPr>
          <w:color w:val="333333"/>
        </w:rPr>
        <w:t> </w:t>
      </w:r>
      <w:r w:rsidRPr="00646C55">
        <w:rPr>
          <w:color w:val="333333"/>
        </w:rPr>
        <w:t> </w:t>
      </w:r>
      <w:r w:rsidRPr="00646C55">
        <w:rPr>
          <w:color w:val="333333"/>
        </w:rPr>
        <w:t>ancora oggi, nel Mezzogiorno, mancano o sono carenti i diritti fondamentali in termini di vivibilità dell'ambiente locale, di sicurezza, di adeguati </w:t>
      </w:r>
      <w:r w:rsidRPr="00646C55">
        <w:rPr>
          <w:rStyle w:val="Enfasicorsivo"/>
          <w:color w:val="333333"/>
        </w:rPr>
        <w:t>standard</w:t>
      </w:r>
      <w:r w:rsidRPr="00646C55">
        <w:rPr>
          <w:color w:val="333333"/>
        </w:rPr>
        <w:t> di istruzione, di idoneità di servizi sanitari e di cura. In particolare, nel comparto socio-assistenziale il ritardo delle regioni meridionali riguarda sia i servizi per l'infanzia, che quelli per gli anziani e per i non autosufficienti; l'intero comparto sanitario presenta differenziali in termini di prestazioni che sono al di sotto dello </w:t>
      </w:r>
      <w:r w:rsidRPr="00646C55">
        <w:rPr>
          <w:rStyle w:val="Enfasicorsivo"/>
          <w:color w:val="333333"/>
        </w:rPr>
        <w:t>standard</w:t>
      </w:r>
      <w:r w:rsidRPr="00646C55">
        <w:rPr>
          <w:color w:val="333333"/>
        </w:rPr>
        <w:t> minimo nazionale. I dati sulla mobilità ospedaliera interregionale testimoniano le carenze del sistema sanitario meridionale, soprattutto in alcuni specifici campi di specializzazione, e la lunghezza dei tempi di attesa per i ricoveri e per le prestazioni specialistiche e ambulatoriali, che sono anche alla base della crescita della spesa sostenuta dalle famiglie con il conseguente impatto sui redditi;</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questa carenza e questo indebolimento della qualità dei servizi pubblici e di prestazioni essenziali incidono sulla tenuta sociale dell'area meridionale e rappresentano il primo vincolo all'espansione del tessuto produttivo, facendo emergere un malessere economico, sociale, lavorativo, educativo e sanitario sempre più diffuso;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anche la mobilità delle persone e delle merci registra per chi vive e produce nel Sud costi privati più alti, talvolta proibitivi specialmente per le isole, le quali, da questo punto di vista, presentano condizioni di ulteriore svantaggio anche rispetto al resto del Mezzogiorno;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il Contratto per il Governo del cambiamento, capitolo «Sud», recita: «con riferimento alle regioni del Sud, si è deciso, contrariamente al passato, di non individuare specifiche misure con il marchio Mezzogiorno, nella consapevolezza che tutte le scelte politiche previste dal presente contratto (con particolare riferimento a sostegno del reddito, pensioni, investimenti, ambiente e tutela dei livelli occupazionali) sono orientate dalla convinzione verso uno sviluppo economico omogeneo per il Paese, pur tenendo conto delle differenti esigenze territoriali con l'obiettivo di colmare il </w:t>
      </w:r>
      <w:r w:rsidRPr="00646C55">
        <w:rPr>
          <w:rStyle w:val="Enfasicorsivo"/>
          <w:color w:val="333333"/>
        </w:rPr>
        <w:t>gap</w:t>
      </w:r>
      <w:r w:rsidRPr="00646C55">
        <w:rPr>
          <w:color w:val="333333"/>
        </w:rPr>
        <w:t> tra Nord e Sud»;</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obiettivo del Governo è, quindi, mettere in campo tutte le politiche necessarie per ridurre l'ormai insostenibile e ingiustificato divario tra Nord e Sud e per favorire lo sviluppo omogeneo di un Paese che è attualmente a due velocità;</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 xml:space="preserve">i fondi della coesione sono risorse preziose per l'Italia e, in particolare, per il Mezzogiorno, al fine di favorirne la trasformazione verso un'economia intelligente e inclusiva, per dare ai giovani l'opportunità di vivere e lavorare nei luoghi in cui sono nati, per innalzare la qualità dei servizi (scuole, sanità, trasporti), per rendere l'ambiente più verde e più resiliente rispetto ai rischi. Tuttavia la politica </w:t>
      </w:r>
      <w:r w:rsidRPr="00646C55">
        <w:rPr>
          <w:color w:val="333333"/>
        </w:rPr>
        <w:lastRenderedPageBreak/>
        <w:t>di coesione non può essere uno strumento risolutivo delle problematiche in cui versano le aree in ritardo se non accompagnata da investimenti nazionali adeguati; pertanto, affinché essa possa essere in grado di dispiegare pienamente i suoi effetti, occorre agevolarne e non ostacolarne i meccanismi di spesa;</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occorre, pertanto, potenziare le capacità di programmazione e progettazione da parte delle Amministrazioni e rimuovere gli ostacoli di natura burocratica, nonché rendere tutti i soggetti, anche a livello locale, più consapevoli delle opportunità e delle procedure da attivare, puntando sulla qualità della spesa, in un quadro di regole più semplificato e più armonizzato rispetto a quello attuale;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la premessa essenziale per un rinnovato impegno pubblico per lo sviluppo del Mezzogiorno passa tuttavia per la riqualificazione, l'ammodernamento e la razionalizzazione delle istituzioni preposte all'amministrazione dello sviluppo e della coesione, per colmare i </w:t>
      </w:r>
      <w:r w:rsidRPr="00646C55">
        <w:rPr>
          <w:rStyle w:val="Enfasicorsivo"/>
          <w:color w:val="333333"/>
        </w:rPr>
        <w:t>deficit</w:t>
      </w:r>
      <w:r w:rsidRPr="00646C55">
        <w:rPr>
          <w:color w:val="333333"/>
        </w:rPr>
        <w:t> in termini di risorse umane qualificate, in particolare sul versante della progettazione degli interventi, delle inefficienze organizzative a livello locale, della carenza di coordinamento strategico a livello nazionale e di volontà e/o capacità di attivare efficaci poteri sostitutivi;</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la politica di coesione territoriale rappresenta, in questo quadro, uno dei principali assi portanti delle politiche regionali di sviluppo, in grado di favorire la convergenza tra le varie zone del Paese, e uno tra i pilastri fondamentali dell'integrazione europea dal punto di vista della funzione di politica di investimento che essa rivesta;</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con riferimento ai fondi destinati al nostro Paese, nel quadro della nuova politica di coesione, le regioni svolgono un ruolo strategico e il loro coinvolgimento attivo è fondamentale per la realizzazione e la condivisione, insieme al livello nazionale, delle scelte programmatiche, in linea con l'attuazione del principio di sussidiarietà;</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malgrado l'accelerazione intervenuta negli ultimi mesi, l'Italia è ancora lontana dal centrare gli obiettivi di spesa prefissati per le politiche di coesione, così come successo nel resto dell'Europa; tale ritardo costituisce un fattore assai grave considerato che questi fondi aggiuntivi rappresentano risorse fondamentali per il Sud da impiegare in modo più celere ed efficace;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 xml:space="preserve">in particolare, l'attuazione dei programmi europei sconta oggi un ritardo che interessa sia i Programmi operativi nazionali, sia quelli regionali, coinvolgendo, sebbene in misura differente, sia le regioni del Mezzogiorno, sia le regioni del Centro Nord: dai dati più aggiornati forniti dal Ministro per il Sud, le spese certificate ammonterebbero a 4,6 miliardi di euro, circa la metà degli obiettivi di </w:t>
      </w:r>
      <w:r w:rsidRPr="00646C55">
        <w:rPr>
          <w:color w:val="333333"/>
        </w:rPr>
        <w:lastRenderedPageBreak/>
        <w:t>spesa complessiva fissati dai regolamenti comunitari e che l'Italia è tenuta a certificare per evitare il rischio del disimpegno automatico, compreso, secondo le ultime stime, tra i 650 e i 750 milioni di euro;</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per il ciclo di programmazione economica europea 2014-2020, la politica di coesione cofinanziata dai fondi strutturali, ha assegnato all'Italia un importo complessivo di risorse – compresa la quota di cofinanziamento nazionale e la quota addizionale di 2,4 miliardi di euro, attribuita all'Italia per effetto della crisi economica e finanziaria – pari a 54,2 miliardi di euro nell'ambito dell'obiettivo «Investimenti in favore della crescita e dell'occupazione»;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in particolare, le regioni del Sud (Campania, Puglia, Basilicata, Calabria e Sicilia) possono beneficiare di una quota complessiva pari a 20,9 miliardi di euro di fondi strutturali, di cui 13,6 miliardi di euro di risorse provenienti dal bilancio dell'Unione europea e 7,3 miliardi a titolo di cofinanziamento nazionale, mentre le regioni in transizione (Sardegna, Abruzzo e Molise) possono contare su poco meno di 1 miliardo di euro di quota europea e 1 miliardo di cofinanziamento nazionale;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le risorse a valere sul Fondo sviluppo e coesione per il medesimo periodo 2014-2020 ammontano a oltre 59 miliardi di euro, di cui l'80 per cento è destinato, per legge, alle aree del Mezzogiorno, cui si aggiungono le risorse ancora disponibili in attuazione dei cicli di programmazione dei Fondi sviluppo e coesione per gli anni 2000-2006 pari a 16,6 miliardi di euro (3,6 per il Centro Nord e 13 per il Sud) e 2007-2013, pari a 6,6 miliardi di euro (1,8 per il Centro Nord e 4,8 per il Sud). A queste risorse vanno inoltre aggiunte quelle destinate ai programmi complementari – che ammontano a 7,4 miliardi di euro per i Programmi operativi complementari (</w:t>
      </w:r>
      <w:proofErr w:type="spellStart"/>
      <w:r w:rsidRPr="00646C55">
        <w:rPr>
          <w:color w:val="333333"/>
        </w:rPr>
        <w:t>Poc</w:t>
      </w:r>
      <w:proofErr w:type="spellEnd"/>
      <w:r w:rsidRPr="00646C55">
        <w:rPr>
          <w:color w:val="333333"/>
        </w:rPr>
        <w:t>) delle Amministrazioni centrali e per le regioni Sicilia, Calabria e Campania – e quelle del Piano azione e coesione pari a circa 8,9 miliardi di euro, quasi totalmente destinate al Sud. Ulteriori risorse, pari a 13,46 miliardi di euro hanno riguardato, nel 2016, interventi da realizzarsi nelle regioni e nelle città metropolitane del Mezzogiorno mediante appositi accordi inter-istituzionali denominati Patti per il Sud;</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 xml:space="preserve">al perseguimento delle strategie e degli obiettivi dei </w:t>
      </w:r>
      <w:proofErr w:type="spellStart"/>
      <w:r w:rsidRPr="00646C55">
        <w:rPr>
          <w:color w:val="333333"/>
        </w:rPr>
        <w:t>Pon</w:t>
      </w:r>
      <w:proofErr w:type="spellEnd"/>
      <w:r w:rsidRPr="00646C55">
        <w:rPr>
          <w:color w:val="333333"/>
        </w:rPr>
        <w:t xml:space="preserve"> e dei Por concorrono infine le risorse dei Programmi operativi complementari 2014-2020, di cui una quota è utilizzata per il completamento dei progetti inseriti nella programmazione a valere sui fondi strutturali europei 2007-2013 non conclusi alla data del 31 dicembre 2015;</w:t>
      </w:r>
    </w:p>
    <w:p w:rsidR="00646C55" w:rsidRPr="00646C55" w:rsidRDefault="00646C55" w:rsidP="00646C55">
      <w:pPr>
        <w:pStyle w:val="NormaleWeb"/>
        <w:shd w:val="clear" w:color="auto" w:fill="FFFFFF"/>
        <w:spacing w:line="360" w:lineRule="auto"/>
        <w:jc w:val="both"/>
        <w:rPr>
          <w:color w:val="333333"/>
        </w:rPr>
      </w:pPr>
      <w:r w:rsidRPr="00646C55">
        <w:rPr>
          <w:color w:val="333333"/>
        </w:rPr>
        <w:lastRenderedPageBreak/>
        <w:t> </w:t>
      </w:r>
      <w:r w:rsidRPr="00646C55">
        <w:rPr>
          <w:color w:val="333333"/>
        </w:rPr>
        <w:t> </w:t>
      </w:r>
      <w:r w:rsidRPr="00646C55">
        <w:rPr>
          <w:color w:val="333333"/>
        </w:rPr>
        <w:t> </w:t>
      </w:r>
      <w:r w:rsidRPr="00646C55">
        <w:rPr>
          <w:color w:val="333333"/>
        </w:rPr>
        <w:t> </w:t>
      </w:r>
      <w:r w:rsidRPr="00646C55">
        <w:rPr>
          <w:color w:val="333333"/>
        </w:rPr>
        <w:t>a seguito della presentazione, il 2 maggio scorso, dell'iniziativa sul nuovo quadro finanziario pluriennale (QFP) 2021-2027, la Commissione europea ha presentato un pacchetto di cinque nuove proposte di regolamento, relative alla futura Politica di coesione dell'Unione europea per gli anni 2021-2027, attualmente in piena fase negoziale. Tale proposta va nella direzione di aumentare la flessibilità nell'utilizzo dei fondi, sia con riferimento alle procedure di programmazione e riprogrammazione sia con riferimento alle possibilità di trasferire una parte dei fondi verso altri programmi e strumenti previsti dal bilancio europeo, inclusi i programmi a gestione diretta della Commissione;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per favorire il coinvolgimento delle autorità competenti a livello locale e territoriale nella futura gestione dei fondi destinati al nostro Paese è stato di recente istituito dal Governo un gruppo di lavoro tecnico sulla programmazione 2021-2027, che prevede un confronto costante tra Regioni e Dipartimento per le Politiche di coesione, che si impegnano a cooperare insieme per la formulazione di istanze e proposte condivise, da presentarsi in sede di negoziato UE;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l'obiettivo è quello di utilizzare in maniera più corretta ed efficiente la gestione dei fondi comunitari destinati </w:t>
      </w:r>
      <w:r w:rsidRPr="00646C55">
        <w:rPr>
          <w:rStyle w:val="Enfasicorsivo"/>
          <w:color w:val="333333"/>
        </w:rPr>
        <w:t>in primis</w:t>
      </w:r>
      <w:r w:rsidRPr="00646C55">
        <w:rPr>
          <w:color w:val="333333"/>
        </w:rPr>
        <w:t> alle Regioni del Mezzogiorno, accelerando la spesa attraverso un controllo costante sulla capacità di investire la totalità dei fondi a disposizione dell'Italia e il confronto con le istituzioni locali, per sostenere le eccellenze e portare nel nostro Paese crescita, servizi e occupazione;</w:t>
      </w:r>
    </w:p>
    <w:p w:rsidR="00646C55" w:rsidRPr="00646C55" w:rsidRDefault="00646C55" w:rsidP="00646C55">
      <w:pPr>
        <w:pStyle w:val="NormaleWeb"/>
        <w:shd w:val="clear" w:color="auto" w:fill="FFFFFF"/>
        <w:spacing w:line="360" w:lineRule="auto"/>
        <w:jc w:val="both"/>
        <w:rPr>
          <w:color w:val="333333"/>
        </w:rPr>
      </w:pPr>
      <w:r w:rsidRPr="00646C55">
        <w:rPr>
          <w:color w:val="333333"/>
        </w:rPr>
        <w:t> </w:t>
      </w:r>
      <w:r w:rsidRPr="00646C55">
        <w:rPr>
          <w:color w:val="333333"/>
        </w:rPr>
        <w:t> </w:t>
      </w:r>
      <w:r w:rsidRPr="00646C55">
        <w:rPr>
          <w:color w:val="333333"/>
        </w:rPr>
        <w:t> </w:t>
      </w:r>
      <w:r w:rsidRPr="00646C55">
        <w:rPr>
          <w:color w:val="333333"/>
        </w:rPr>
        <w:t> </w:t>
      </w:r>
      <w:r w:rsidRPr="00646C55">
        <w:rPr>
          <w:color w:val="333333"/>
        </w:rPr>
        <w:t>l'art. 7-</w:t>
      </w:r>
      <w:r w:rsidRPr="00646C55">
        <w:rPr>
          <w:rStyle w:val="Enfasicorsivo"/>
          <w:color w:val="333333"/>
        </w:rPr>
        <w:t>bis</w:t>
      </w:r>
      <w:r w:rsidRPr="00646C55">
        <w:rPr>
          <w:color w:val="333333"/>
        </w:rPr>
        <w:t> del decreto-legge 29 dicembre 2016, n. 243, recante «Interventi urgenti per la coesione sociale e territoriale, con particolare riferimento a situazioni critiche in alcune aree del Mezzogiorno» dispone che le Amministrazioni Centrali si conformino all'obiettivo di destinare agli interventi nei territori del Mezzogiorno un volume complessivo annuale di stanziamenti ordinari in conto capitale proporzionale alla popolazione di riferimento. L'obiettivo è quello di riequilibrare il rapporto tra i due principali canali finanziari che compongono la spesa in conto capitale nel Mezzogiorno: le risorse ordinarie e quelle derivanti dalla politica aggiuntiva, sia comunitaria (Fondi Strutturali e relativo Cofinanziamento nazionale) che nazionale (Fondo di Sviluppo e Coesione). In particolare, le risorse ordinarie verrebbero orientate al rispetto del principio di equità, finalizzato a far sì che il cittadino, a qualunque area del Paese appartenga, possa potenzialmente disporre di un ammontare di risorse equivalente, mentre le risorse della politica aggiuntiva, prevalentemente destinate al Sud, hanno la funzione di garantire la copertura del divario ancora esistente, dando attuazione al comma 5 dell'articolo 119 della Costituzione,</w:t>
      </w:r>
    </w:p>
    <w:p w:rsidR="00646C55" w:rsidRPr="00646C55" w:rsidRDefault="00646C55" w:rsidP="00646C55">
      <w:pPr>
        <w:pStyle w:val="center"/>
        <w:shd w:val="clear" w:color="auto" w:fill="FFFFFF"/>
        <w:spacing w:line="360" w:lineRule="auto"/>
        <w:jc w:val="both"/>
        <w:rPr>
          <w:color w:val="333333"/>
        </w:rPr>
      </w:pPr>
      <w:r w:rsidRPr="00646C55">
        <w:rPr>
          <w:color w:val="333333"/>
        </w:rPr>
        <w:t>impegna il Governo:</w:t>
      </w:r>
    </w:p>
    <w:p w:rsidR="00646C55" w:rsidRPr="00646C55" w:rsidRDefault="00646C55" w:rsidP="00646C55">
      <w:pPr>
        <w:pStyle w:val="NormaleWeb"/>
        <w:shd w:val="clear" w:color="auto" w:fill="FFFFFF"/>
        <w:spacing w:line="360" w:lineRule="auto"/>
        <w:jc w:val="both"/>
        <w:rPr>
          <w:color w:val="333333"/>
        </w:rPr>
      </w:pPr>
      <w:r w:rsidRPr="00646C55">
        <w:rPr>
          <w:color w:val="333333"/>
        </w:rPr>
        <w:lastRenderedPageBreak/>
        <w:t>1) ad adottare iniziative per rafforzare ed estendere, sotto molteplici profili, l'efficacia del regime agevolativo previsto dal decreto legislativo 14 settembre 2015, n. 147, comunemente chiamato «Controesodo» al fine di facilitare il ritorno e il radicamento dei lavoratori che trasferiscono la loro residenza in Italia e in particolare nelle regioni meridionali e di trattenere quelli già rientrati, tenuto conto che il «capitale umano» del nostro Paese è indispensabile per la crescita economica;</w:t>
      </w:r>
    </w:p>
    <w:p w:rsidR="00646C55" w:rsidRPr="00646C55" w:rsidRDefault="00646C55" w:rsidP="00646C55">
      <w:pPr>
        <w:pStyle w:val="NormaleWeb"/>
        <w:shd w:val="clear" w:color="auto" w:fill="FFFFFF"/>
        <w:spacing w:line="360" w:lineRule="auto"/>
        <w:jc w:val="both"/>
        <w:rPr>
          <w:color w:val="333333"/>
        </w:rPr>
      </w:pPr>
      <w:r w:rsidRPr="00646C55">
        <w:rPr>
          <w:color w:val="333333"/>
        </w:rPr>
        <w:t>2) ad adottare iniziative per definire progetti finalizzati al rientro di giovani ad alta qualificazione e specializzazione nelle regioni di provenienza, al fine di invertire i consistenti flussi di migrazione verso il Nord e l'estero;</w:t>
      </w:r>
    </w:p>
    <w:p w:rsidR="00646C55" w:rsidRPr="00646C55" w:rsidRDefault="00646C55" w:rsidP="00646C55">
      <w:pPr>
        <w:pStyle w:val="NormaleWeb"/>
        <w:shd w:val="clear" w:color="auto" w:fill="FFFFFF"/>
        <w:spacing w:line="360" w:lineRule="auto"/>
        <w:jc w:val="both"/>
        <w:rPr>
          <w:color w:val="333333"/>
        </w:rPr>
      </w:pPr>
      <w:r w:rsidRPr="00646C55">
        <w:rPr>
          <w:color w:val="333333"/>
        </w:rPr>
        <w:t>3) a promuovere specifiche misure in favore delle università aventi sede nelle regioni meridionali, al fine di far loro recuperare, con risorse economiche contenute, le potenzialità di crescita dell'offerta formativa venute meno a causa della riduzione dei trasferimenti finanziari, per renderle nuovamente attrattive per tutti quei giovani che oggi si trasferiscono altrove per l'assenza di corsi di laurea innovativi, magari introducendo processi di internazionalizzazione degli atenei del Sud, con particolare riferimento ad accordi di </w:t>
      </w:r>
      <w:r w:rsidRPr="00646C55">
        <w:rPr>
          <w:rStyle w:val="Enfasicorsivo"/>
          <w:color w:val="333333"/>
        </w:rPr>
        <w:t>partnership</w:t>
      </w:r>
      <w:r w:rsidRPr="00646C55">
        <w:rPr>
          <w:color w:val="333333"/>
        </w:rPr>
        <w:t> con le più importanti ed avanzate università del mondo;</w:t>
      </w:r>
    </w:p>
    <w:p w:rsidR="00646C55" w:rsidRPr="00646C55" w:rsidRDefault="00646C55" w:rsidP="00646C55">
      <w:pPr>
        <w:pStyle w:val="NormaleWeb"/>
        <w:shd w:val="clear" w:color="auto" w:fill="FFFFFF"/>
        <w:spacing w:line="360" w:lineRule="auto"/>
        <w:jc w:val="both"/>
        <w:rPr>
          <w:color w:val="333333"/>
        </w:rPr>
      </w:pPr>
      <w:r w:rsidRPr="00646C55">
        <w:rPr>
          <w:color w:val="333333"/>
        </w:rPr>
        <w:t>4) ad adottare iniziative per potenziare e rendere più efficaci le misure di incentivazione agli investimenti nel Mezzogiorno, soprattutto in settori innovativi, al fine di favorire la ripresa del sistema produttivo meridionale;</w:t>
      </w:r>
    </w:p>
    <w:p w:rsidR="00646C55" w:rsidRPr="00646C55" w:rsidRDefault="00646C55" w:rsidP="00646C55">
      <w:pPr>
        <w:pStyle w:val="NormaleWeb"/>
        <w:shd w:val="clear" w:color="auto" w:fill="FFFFFF"/>
        <w:spacing w:line="360" w:lineRule="auto"/>
        <w:jc w:val="both"/>
        <w:rPr>
          <w:color w:val="333333"/>
        </w:rPr>
      </w:pPr>
      <w:r w:rsidRPr="00646C55">
        <w:rPr>
          <w:color w:val="333333"/>
        </w:rPr>
        <w:t>5) ad adottare iniziative per prevedere per il Mezzogiorno misure di sostegno per la creazione di giovani </w:t>
      </w:r>
      <w:r w:rsidRPr="00646C55">
        <w:rPr>
          <w:rStyle w:val="Enfasicorsivo"/>
          <w:color w:val="333333"/>
        </w:rPr>
        <w:t>start up</w:t>
      </w:r>
      <w:r w:rsidRPr="00646C55">
        <w:rPr>
          <w:color w:val="333333"/>
        </w:rPr>
        <w:t> specializzate in </w:t>
      </w:r>
      <w:r w:rsidRPr="00646C55">
        <w:rPr>
          <w:rStyle w:val="Enfasicorsivo"/>
          <w:color w:val="333333"/>
        </w:rPr>
        <w:t>business</w:t>
      </w:r>
      <w:r w:rsidRPr="00646C55">
        <w:rPr>
          <w:color w:val="333333"/>
        </w:rPr>
        <w:t> emergenti capaci di reggere la sfida internazionale e per il rafforzamento delle </w:t>
      </w:r>
      <w:r w:rsidRPr="00646C55">
        <w:rPr>
          <w:rStyle w:val="Enfasicorsivo"/>
          <w:color w:val="333333"/>
        </w:rPr>
        <w:t>start up</w:t>
      </w:r>
      <w:r w:rsidRPr="00646C55">
        <w:rPr>
          <w:color w:val="333333"/>
        </w:rPr>
        <w:t>, in specie se operanti in settori di interesse generale, anche non aventi carattere industriale o commerciale e realizzati mediante progetti di partenariato pubblico/privato;</w:t>
      </w:r>
    </w:p>
    <w:p w:rsidR="00646C55" w:rsidRPr="00646C55" w:rsidRDefault="00646C55" w:rsidP="00646C55">
      <w:pPr>
        <w:pStyle w:val="NormaleWeb"/>
        <w:shd w:val="clear" w:color="auto" w:fill="FFFFFF"/>
        <w:spacing w:line="360" w:lineRule="auto"/>
        <w:jc w:val="both"/>
        <w:rPr>
          <w:color w:val="333333"/>
        </w:rPr>
      </w:pPr>
      <w:r w:rsidRPr="00646C55">
        <w:rPr>
          <w:color w:val="333333"/>
        </w:rPr>
        <w:t>6) ad adottare iniziative per avviare e/o potenziare la costituzione di uno o più </w:t>
      </w:r>
      <w:r w:rsidRPr="00646C55">
        <w:rPr>
          <w:rStyle w:val="Enfasicorsivo"/>
          <w:color w:val="333333"/>
        </w:rPr>
        <w:t>cluster</w:t>
      </w:r>
      <w:r w:rsidRPr="00646C55">
        <w:rPr>
          <w:color w:val="333333"/>
        </w:rPr>
        <w:t> tecnologici al fine di favorire l'insediamento nel Mezzogiorno di imprese scientifiche e tecnologiche operanti in specie nei settori sanitario, informatico, delle telecomunicazioni, dell'agricoltura e ricerca, in raccordo con le università;</w:t>
      </w:r>
    </w:p>
    <w:p w:rsidR="00646C55" w:rsidRPr="00646C55" w:rsidRDefault="00646C55" w:rsidP="00646C55">
      <w:pPr>
        <w:pStyle w:val="NormaleWeb"/>
        <w:shd w:val="clear" w:color="auto" w:fill="FFFFFF"/>
        <w:spacing w:line="360" w:lineRule="auto"/>
        <w:jc w:val="both"/>
        <w:rPr>
          <w:color w:val="333333"/>
        </w:rPr>
      </w:pPr>
      <w:r w:rsidRPr="00646C55">
        <w:rPr>
          <w:color w:val="333333"/>
        </w:rPr>
        <w:t>7) ad accelerare, in relazione alla situazione del Mezzogiorno, l'avvio delle zone economiche speciali istituite ai sensi dell'articolo 4 del decreto-legge 20 giugno 2017, n. 91, per creare condizioni più vantaggiose in termini economici, finanziari e amministrativi per lo sviluppo di imprese già operanti o che si insedieranno in tali aree;</w:t>
      </w:r>
    </w:p>
    <w:p w:rsidR="00646C55" w:rsidRPr="00646C55" w:rsidRDefault="00646C55" w:rsidP="00646C55">
      <w:pPr>
        <w:pStyle w:val="NormaleWeb"/>
        <w:shd w:val="clear" w:color="auto" w:fill="FFFFFF"/>
        <w:spacing w:line="360" w:lineRule="auto"/>
        <w:jc w:val="both"/>
        <w:rPr>
          <w:color w:val="333333"/>
        </w:rPr>
      </w:pPr>
      <w:r w:rsidRPr="00646C55">
        <w:rPr>
          <w:color w:val="333333"/>
        </w:rPr>
        <w:lastRenderedPageBreak/>
        <w:t>8) a promuovere in sede nazionale e in ambito europeo specifiche misure per la salvaguardia della «continuità territoriale», in particolare mediante l'incentivazione del trasporto integrato e intermodale e l'</w:t>
      </w:r>
      <w:proofErr w:type="spellStart"/>
      <w:r w:rsidRPr="00646C55">
        <w:rPr>
          <w:color w:val="333333"/>
        </w:rPr>
        <w:t>efficientamento</w:t>
      </w:r>
      <w:proofErr w:type="spellEnd"/>
      <w:r w:rsidRPr="00646C55">
        <w:rPr>
          <w:color w:val="333333"/>
        </w:rPr>
        <w:t xml:space="preserve"> degli </w:t>
      </w:r>
      <w:proofErr w:type="spellStart"/>
      <w:r w:rsidRPr="00646C55">
        <w:rPr>
          <w:rStyle w:val="Enfasicorsivo"/>
          <w:color w:val="333333"/>
        </w:rPr>
        <w:t>hub</w:t>
      </w:r>
      <w:proofErr w:type="spellEnd"/>
      <w:r w:rsidRPr="00646C55">
        <w:rPr>
          <w:color w:val="333333"/>
        </w:rPr>
        <w:t> aeroportuali e ferroviari, al fine di calmierare gli attualmente elevati costi della mobilità;</w:t>
      </w:r>
    </w:p>
    <w:p w:rsidR="00646C55" w:rsidRPr="00646C55" w:rsidRDefault="00646C55" w:rsidP="00646C55">
      <w:pPr>
        <w:pStyle w:val="NormaleWeb"/>
        <w:shd w:val="clear" w:color="auto" w:fill="FFFFFF"/>
        <w:spacing w:line="360" w:lineRule="auto"/>
        <w:jc w:val="both"/>
        <w:rPr>
          <w:color w:val="333333"/>
        </w:rPr>
      </w:pPr>
      <w:r w:rsidRPr="00646C55">
        <w:rPr>
          <w:color w:val="333333"/>
        </w:rPr>
        <w:t>9) ad adottare iniziative per potenziare le misure relative agli sgravi contributivi per i neo assunti, estendendo e rendendo permanenti le disposizioni concernenti la riduzione dei contributi in favore dei datori di lavoro privati che assumono con contratto di lavoro dipendente giovani disoccupati, introdotte dalla legge di bilancio n. 205 del 2017 e confermate per le nuove assunzioni nel biennio 2019-2020 dal decreto-legge n. 87 del 2018, anche alle assunzioni di personale </w:t>
      </w:r>
      <w:r w:rsidRPr="00646C55">
        <w:rPr>
          <w:rStyle w:val="Enfasicorsivo"/>
          <w:color w:val="333333"/>
        </w:rPr>
        <w:t>over</w:t>
      </w:r>
      <w:r w:rsidRPr="00646C55">
        <w:rPr>
          <w:color w:val="333333"/>
        </w:rPr>
        <w:t> 35 nelle regioni del Mezzogiorno;</w:t>
      </w:r>
    </w:p>
    <w:p w:rsidR="00646C55" w:rsidRPr="00646C55" w:rsidRDefault="00646C55" w:rsidP="00646C55">
      <w:pPr>
        <w:pStyle w:val="NormaleWeb"/>
        <w:shd w:val="clear" w:color="auto" w:fill="FFFFFF"/>
        <w:spacing w:line="360" w:lineRule="auto"/>
        <w:jc w:val="both"/>
        <w:rPr>
          <w:color w:val="333333"/>
        </w:rPr>
      </w:pPr>
      <w:r w:rsidRPr="00646C55">
        <w:rPr>
          <w:color w:val="333333"/>
        </w:rPr>
        <w:t>10) ad adottare specifiche iniziative, in particolar modo di trattamento fiscale, in favore dei pensionati italiani e stranieri che intendano trasferire o recuperare la propria residenza nelle regioni meridionali, invertendo al contempo il fenomeno della cosiddetta «fuga dei pensionati italiani» verso l'estero, per la sola ragione di rinvenirvi normative fiscali e finanziarie di favore, come quella vigente in alcuni Paesi anche europei, per i cittadini stranieri che decidano di trasferirvisi dall'estero;</w:t>
      </w:r>
    </w:p>
    <w:p w:rsidR="00646C55" w:rsidRPr="00646C55" w:rsidRDefault="00646C55" w:rsidP="00646C55">
      <w:pPr>
        <w:pStyle w:val="NormaleWeb"/>
        <w:shd w:val="clear" w:color="auto" w:fill="FFFFFF"/>
        <w:spacing w:line="360" w:lineRule="auto"/>
        <w:jc w:val="both"/>
        <w:rPr>
          <w:color w:val="333333"/>
        </w:rPr>
      </w:pPr>
      <w:r w:rsidRPr="00646C55">
        <w:rPr>
          <w:color w:val="333333"/>
        </w:rPr>
        <w:t>11) ad adottare iniziative per estendere gli incentivi fiscali dell'intervento «Resto al Sud», introdotti dal decreto-legge n. 91 del 2017, che sono misure di sostegno per la nascita di nuove attività imprenditoriali avviate da giovani </w:t>
      </w:r>
      <w:r w:rsidRPr="00646C55">
        <w:rPr>
          <w:rStyle w:val="Enfasicorsivo"/>
          <w:color w:val="333333"/>
        </w:rPr>
        <w:t>under</w:t>
      </w:r>
      <w:r w:rsidRPr="00646C55">
        <w:rPr>
          <w:color w:val="333333"/>
        </w:rPr>
        <w:t> 35 nelle regioni del Mezzogiorno, anche ai professionisti, con innalzamento dell'età di coloro che effettuano richiesta di accesso alle agevolazioni;</w:t>
      </w:r>
    </w:p>
    <w:p w:rsidR="00646C55" w:rsidRPr="00646C55" w:rsidRDefault="00646C55" w:rsidP="00646C55">
      <w:pPr>
        <w:pStyle w:val="NormaleWeb"/>
        <w:shd w:val="clear" w:color="auto" w:fill="FFFFFF"/>
        <w:spacing w:line="360" w:lineRule="auto"/>
        <w:jc w:val="both"/>
        <w:rPr>
          <w:color w:val="333333"/>
        </w:rPr>
      </w:pPr>
      <w:r w:rsidRPr="00646C55">
        <w:rPr>
          <w:color w:val="333333"/>
        </w:rPr>
        <w:t>12) ad avviare una specifica programmazione infrastrutturale, di concerto con le regioni del Mezzogiorno, relativa alla realizzazione di specifici interventi di importanza strategica, anche mediante apposite procedure speciali che ne consentano la tempestiva esecuzione, al fine di colmare il divario esistente nei collegamenti tra Nord e Sud;</w:t>
      </w:r>
    </w:p>
    <w:p w:rsidR="00646C55" w:rsidRPr="00646C55" w:rsidRDefault="00646C55" w:rsidP="00646C55">
      <w:pPr>
        <w:pStyle w:val="NormaleWeb"/>
        <w:shd w:val="clear" w:color="auto" w:fill="FFFFFF"/>
        <w:spacing w:line="360" w:lineRule="auto"/>
        <w:jc w:val="both"/>
        <w:rPr>
          <w:color w:val="333333"/>
        </w:rPr>
      </w:pPr>
      <w:r w:rsidRPr="00646C55">
        <w:rPr>
          <w:color w:val="333333"/>
        </w:rPr>
        <w:t>13) ad adottare iniziative per valorizzare e potenziare i sistemi logistico-intermodali del Meridione, in specie quelli portuali, così da ampliare la competitività delle aree interessate nel più ampio bacino del Mediterraneo, anche al fine di facilitare la creazione di economie di scala;</w:t>
      </w:r>
    </w:p>
    <w:p w:rsidR="00646C55" w:rsidRPr="00646C55" w:rsidRDefault="00646C55" w:rsidP="00646C55">
      <w:pPr>
        <w:pStyle w:val="NormaleWeb"/>
        <w:shd w:val="clear" w:color="auto" w:fill="FFFFFF"/>
        <w:spacing w:line="360" w:lineRule="auto"/>
        <w:jc w:val="both"/>
        <w:rPr>
          <w:color w:val="333333"/>
        </w:rPr>
      </w:pPr>
      <w:r w:rsidRPr="00646C55">
        <w:rPr>
          <w:color w:val="333333"/>
        </w:rPr>
        <w:t>14) ad adottare iniziative per potenziare le strutture ospedaliere territoriali del Sud colmando le insufficienze di personale qualificato, strutturali e la carenza di tecnologie avanzate, evitando così l'incremento della mobilità ospedaliera nelle regioni del Centro-Nord con conseguenti ripercussioni sulla spesa delle famiglie;</w:t>
      </w:r>
    </w:p>
    <w:p w:rsidR="00646C55" w:rsidRPr="00646C55" w:rsidRDefault="00646C55" w:rsidP="00646C55">
      <w:pPr>
        <w:pStyle w:val="NormaleWeb"/>
        <w:shd w:val="clear" w:color="auto" w:fill="FFFFFF"/>
        <w:spacing w:line="360" w:lineRule="auto"/>
        <w:jc w:val="both"/>
        <w:rPr>
          <w:color w:val="333333"/>
        </w:rPr>
      </w:pPr>
      <w:r w:rsidRPr="00646C55">
        <w:rPr>
          <w:color w:val="333333"/>
        </w:rPr>
        <w:lastRenderedPageBreak/>
        <w:t>15) ad adottare le iniziative di competenza per migliorare la gestione dei rifiuti nel Mezzogiorno, potenziando i sistemi di raccolta differenziata e di riutilizzazione dei materiali e di chiusura del ciclo dei rifiuti;</w:t>
      </w:r>
    </w:p>
    <w:p w:rsidR="00646C55" w:rsidRPr="00646C55" w:rsidRDefault="00646C55" w:rsidP="00646C55">
      <w:pPr>
        <w:pStyle w:val="NormaleWeb"/>
        <w:shd w:val="clear" w:color="auto" w:fill="FFFFFF"/>
        <w:spacing w:line="360" w:lineRule="auto"/>
        <w:jc w:val="both"/>
        <w:rPr>
          <w:color w:val="333333"/>
        </w:rPr>
      </w:pPr>
      <w:r w:rsidRPr="00646C55">
        <w:rPr>
          <w:color w:val="333333"/>
        </w:rPr>
        <w:t>16) ad avviare, implementare, coordinare i sistemi di monitoraggio nell'ambito dei progetti delle cosiddette </w:t>
      </w:r>
      <w:proofErr w:type="spellStart"/>
      <w:r w:rsidRPr="00646C55">
        <w:rPr>
          <w:rStyle w:val="Enfasicorsivo"/>
          <w:color w:val="333333"/>
        </w:rPr>
        <w:t>smart</w:t>
      </w:r>
      <w:proofErr w:type="spellEnd"/>
      <w:r w:rsidRPr="00646C55">
        <w:rPr>
          <w:rStyle w:val="Enfasicorsivo"/>
          <w:color w:val="333333"/>
        </w:rPr>
        <w:t xml:space="preserve"> city</w:t>
      </w:r>
      <w:r w:rsidRPr="00646C55">
        <w:rPr>
          <w:color w:val="333333"/>
        </w:rPr>
        <w:t>, con particolare riguardo al Sud;</w:t>
      </w:r>
    </w:p>
    <w:p w:rsidR="00646C55" w:rsidRPr="00646C55" w:rsidRDefault="00646C55" w:rsidP="00646C55">
      <w:pPr>
        <w:pStyle w:val="NormaleWeb"/>
        <w:shd w:val="clear" w:color="auto" w:fill="FFFFFF"/>
        <w:spacing w:line="360" w:lineRule="auto"/>
        <w:jc w:val="both"/>
        <w:rPr>
          <w:color w:val="333333"/>
        </w:rPr>
      </w:pPr>
      <w:r w:rsidRPr="00646C55">
        <w:rPr>
          <w:color w:val="333333"/>
        </w:rPr>
        <w:t>17) a qualificare il rapporto tra la filiera della produzione agricola del Mezzogiorno e la grande distribuzione commerciale, valorizzando in specie le produzioni DOP e IGP, anche al fine di assicurare ai produttori un equilibrato tasso di remunerazione;</w:t>
      </w:r>
    </w:p>
    <w:p w:rsidR="00646C55" w:rsidRPr="00646C55" w:rsidRDefault="00646C55" w:rsidP="00646C55">
      <w:pPr>
        <w:pStyle w:val="NormaleWeb"/>
        <w:shd w:val="clear" w:color="auto" w:fill="FFFFFF"/>
        <w:spacing w:line="360" w:lineRule="auto"/>
        <w:jc w:val="both"/>
        <w:rPr>
          <w:color w:val="333333"/>
        </w:rPr>
      </w:pPr>
      <w:r w:rsidRPr="00646C55">
        <w:rPr>
          <w:color w:val="333333"/>
        </w:rPr>
        <w:t>18) a sostenere gli interventi di ripristino delle coltivazioni e delle aree boschive del Mezzogiorno, al fine di contenere il consumo del territorio e di contrastare i fenomeni di desertificazione e di erosione dei suoli;</w:t>
      </w:r>
    </w:p>
    <w:p w:rsidR="00646C55" w:rsidRPr="00646C55" w:rsidRDefault="00646C55" w:rsidP="00646C55">
      <w:pPr>
        <w:pStyle w:val="NormaleWeb"/>
        <w:shd w:val="clear" w:color="auto" w:fill="FFFFFF"/>
        <w:spacing w:line="360" w:lineRule="auto"/>
        <w:jc w:val="both"/>
        <w:rPr>
          <w:color w:val="333333"/>
        </w:rPr>
      </w:pPr>
      <w:r w:rsidRPr="00646C55">
        <w:rPr>
          <w:color w:val="333333"/>
        </w:rPr>
        <w:t>19) sulla scia di quanto già attuato con l'istituzione della cabina di regia del Fondo sviluppo e coesione 2014-2020, ad adottare tutte le opportune iniziative, anche attraverso il ricorso ai necessari strumenti di semplificazione normativa e amministrativa, per potenziare le capacità di programmazione e progettazione da parte delle amministrazioni competenti nell'ambito della politica di coesione, rimuovendo gli ostacoli di natura burocratica, al fine di assicurare una maggiore e più stretta integrazione tra gli attori istituzionali coinvolti nell'attuazione delle politiche di coesione territoriale; in tale direzione, anche in relazione ai gravi ritardi accumulati nella spesa comunitaria e nei cosiddetti patti per il Sud, a prevedere apposite gestioni straordinarie ed emergenziali per quegli interventi che, di concerto con le regioni, fossero ritenuti essenziali e urgenti per il Sud;</w:t>
      </w:r>
    </w:p>
    <w:p w:rsidR="00646C55" w:rsidRPr="00646C55" w:rsidRDefault="00646C55" w:rsidP="00646C55">
      <w:pPr>
        <w:pStyle w:val="NormaleWeb"/>
        <w:shd w:val="clear" w:color="auto" w:fill="FFFFFF"/>
        <w:spacing w:line="360" w:lineRule="auto"/>
        <w:jc w:val="both"/>
        <w:rPr>
          <w:color w:val="333333"/>
        </w:rPr>
      </w:pPr>
      <w:r w:rsidRPr="00646C55">
        <w:rPr>
          <w:color w:val="333333"/>
        </w:rPr>
        <w:t>20) a rafforzare il ruolo di supporto svolto dall'Agenzia di coesione territoriale a favore delle autorità di gestione e delle singole amministrazioni interessate nel raggiungimento degli obiettivi di spesa, affinché si persegua l'obiettivo di un più efficace ed efficiente utilizzo delle risorse a disposizione, anche mediante il ricorso a specifiche azioni di supporto amministrativo e l'implementazione di un'attività di monitoraggio rafforzato finalizzata a verificare lo stato effettivo della programmazione attuativa dei programmi operativi regionali – POR del fondo europeo di sviluppo regionale (FESR);</w:t>
      </w:r>
    </w:p>
    <w:p w:rsidR="00646C55" w:rsidRPr="00646C55" w:rsidRDefault="00646C55" w:rsidP="00646C55">
      <w:pPr>
        <w:pStyle w:val="NormaleWeb"/>
        <w:shd w:val="clear" w:color="auto" w:fill="FFFFFF"/>
        <w:spacing w:line="360" w:lineRule="auto"/>
        <w:jc w:val="both"/>
        <w:rPr>
          <w:color w:val="333333"/>
        </w:rPr>
      </w:pPr>
      <w:r w:rsidRPr="00646C55">
        <w:rPr>
          <w:color w:val="333333"/>
        </w:rPr>
        <w:t xml:space="preserve">21) ad adottare iniziative per procedere nell'opera di semplificazione delle modalità di gestione amministrativa del fondo per lo sviluppo e la coesione, attraverso la concentrazione e la standardizzazione delle procedure e dei compiti degli organismi tecnici e facilitando il ricorso alla </w:t>
      </w:r>
      <w:r w:rsidRPr="00646C55">
        <w:rPr>
          <w:color w:val="333333"/>
        </w:rPr>
        <w:lastRenderedPageBreak/>
        <w:t>digitalizzazione dei flussi dei dati, evitando la proliferazione di strumenti che determino inefficienze nella realizzazione degli interventi finanziari e situazioni di incertezza per le amministrazioni;</w:t>
      </w:r>
    </w:p>
    <w:p w:rsidR="00646C55" w:rsidRPr="00646C55" w:rsidRDefault="00646C55" w:rsidP="00646C55">
      <w:pPr>
        <w:pStyle w:val="NormaleWeb"/>
        <w:shd w:val="clear" w:color="auto" w:fill="FFFFFF"/>
        <w:spacing w:line="360" w:lineRule="auto"/>
        <w:jc w:val="both"/>
        <w:rPr>
          <w:color w:val="333333"/>
        </w:rPr>
      </w:pPr>
      <w:r w:rsidRPr="00646C55">
        <w:rPr>
          <w:color w:val="333333"/>
        </w:rPr>
        <w:t>22) a continuare il dialogo già in corso con le istituzioni dell'Unione europea, anche attraverso la partecipazione ai consessi comunitari, a partire dal Consiglio affari generali formazione e coesione, al fine di sostenere, con azioni concrete e nelle opportune sedi comunitarie, il perseguimento degli obiettivi fissati dal Trattato di funzionamento dell'Unione europea sulla politica di coesione economica, sociale e territoriale, per eliminare il divario tra i livelli di sviluppo delle varie regioni europee;</w:t>
      </w:r>
    </w:p>
    <w:p w:rsidR="00646C55" w:rsidRPr="00646C55" w:rsidRDefault="00646C55" w:rsidP="00646C55">
      <w:pPr>
        <w:pStyle w:val="NormaleWeb"/>
        <w:shd w:val="clear" w:color="auto" w:fill="FFFFFF"/>
        <w:spacing w:line="360" w:lineRule="auto"/>
        <w:jc w:val="both"/>
        <w:rPr>
          <w:color w:val="333333"/>
        </w:rPr>
      </w:pPr>
      <w:r w:rsidRPr="00646C55">
        <w:rPr>
          <w:color w:val="333333"/>
        </w:rPr>
        <w:t>23) ad adottare tutte le iniziative necessarie per assicurare, con particolare riguardo al Mezzogiorno, il corretto ed efficace impiego dei fondi strutturali europei a disposizione per il periodo di programmazione 2014-2020, al fine di raggiungere i </w:t>
      </w:r>
      <w:r w:rsidRPr="00646C55">
        <w:rPr>
          <w:rStyle w:val="Enfasicorsivo"/>
          <w:color w:val="333333"/>
        </w:rPr>
        <w:t>target</w:t>
      </w:r>
      <w:r w:rsidRPr="00646C55">
        <w:rPr>
          <w:color w:val="333333"/>
        </w:rPr>
        <w:t> prefissati per il nostro Paese e migliorarne il loro utilizzo anche attraverso il ricorso a un sistema di regole più armonizzato tra i diversi fondi e strumenti del bilancio dell'Unione europea;</w:t>
      </w:r>
    </w:p>
    <w:p w:rsidR="00646C55" w:rsidRPr="00646C55" w:rsidRDefault="00646C55" w:rsidP="00646C55">
      <w:pPr>
        <w:pStyle w:val="NormaleWeb"/>
        <w:shd w:val="clear" w:color="auto" w:fill="FFFFFF"/>
        <w:spacing w:line="360" w:lineRule="auto"/>
        <w:jc w:val="both"/>
        <w:rPr>
          <w:color w:val="333333"/>
        </w:rPr>
      </w:pPr>
      <w:r w:rsidRPr="00646C55">
        <w:rPr>
          <w:color w:val="333333"/>
        </w:rPr>
        <w:t>24) a rispettare il principio della destinazione territoriale nel caso dei fondi strutturali di cui sopra che risultino utilizzabili in base al meccanismo del disimpegno automatico, ovvero in seguito a riduzione del cofinanziamento nazionale o a riprogrammazione, facendo confluire tali risorse nei programmi complementari dei territori a cui sono stati precedentemente assegnati;</w:t>
      </w:r>
    </w:p>
    <w:p w:rsidR="00646C55" w:rsidRPr="00646C55" w:rsidRDefault="00646C55" w:rsidP="00646C55">
      <w:pPr>
        <w:pStyle w:val="NormaleWeb"/>
        <w:shd w:val="clear" w:color="auto" w:fill="FFFFFF"/>
        <w:spacing w:line="360" w:lineRule="auto"/>
        <w:jc w:val="both"/>
        <w:rPr>
          <w:color w:val="333333"/>
        </w:rPr>
      </w:pPr>
      <w:r w:rsidRPr="00646C55">
        <w:rPr>
          <w:color w:val="333333"/>
        </w:rPr>
        <w:t>25) ad adottare iniziative per rispettare la destinazione di una quota pari ad almeno il 34 per cento della spesa pubblica alle regioni del Sud, in attuazione a quanto disposto dall'articolo 7-</w:t>
      </w:r>
      <w:r w:rsidRPr="00646C55">
        <w:rPr>
          <w:rStyle w:val="Enfasicorsivo"/>
          <w:color w:val="333333"/>
        </w:rPr>
        <w:t>bis</w:t>
      </w:r>
      <w:r w:rsidRPr="00646C55">
        <w:rPr>
          <w:color w:val="333333"/>
        </w:rPr>
        <w:t> del decreto-legge 29 dicembre 2016, n. 243;</w:t>
      </w:r>
    </w:p>
    <w:p w:rsidR="00646C55" w:rsidRPr="00646C55" w:rsidRDefault="00646C55" w:rsidP="00646C55">
      <w:pPr>
        <w:pStyle w:val="NormaleWeb"/>
        <w:shd w:val="clear" w:color="auto" w:fill="FFFFFF"/>
        <w:spacing w:line="360" w:lineRule="auto"/>
        <w:jc w:val="both"/>
        <w:rPr>
          <w:color w:val="333333"/>
        </w:rPr>
      </w:pPr>
      <w:r w:rsidRPr="00646C55">
        <w:rPr>
          <w:color w:val="333333"/>
        </w:rPr>
        <w:t>26) ad avviare le iniziative di competenza per il potenziamento e la riqualificazione della rete stradale interna del Mezzogiorno al fine di consentire una mobilità regolare e senza disagi, e di invertire la tendenza negativa allo spopolamento di intere aree, determinata da collegamenti inadeguati ovvero caratterizzati da </w:t>
      </w:r>
      <w:r w:rsidRPr="00646C55">
        <w:rPr>
          <w:rStyle w:val="Enfasicorsivo"/>
          <w:color w:val="333333"/>
        </w:rPr>
        <w:t>standard</w:t>
      </w:r>
      <w:r w:rsidRPr="00646C55">
        <w:rPr>
          <w:color w:val="333333"/>
        </w:rPr>
        <w:t> di sicurezza ridotti;</w:t>
      </w:r>
    </w:p>
    <w:p w:rsidR="00646C55" w:rsidRPr="00646C55" w:rsidRDefault="00646C55" w:rsidP="00646C55">
      <w:pPr>
        <w:pStyle w:val="NormaleWeb"/>
        <w:shd w:val="clear" w:color="auto" w:fill="FFFFFF"/>
        <w:spacing w:line="360" w:lineRule="auto"/>
        <w:jc w:val="both"/>
        <w:rPr>
          <w:color w:val="333333"/>
        </w:rPr>
      </w:pPr>
      <w:r w:rsidRPr="00646C55">
        <w:rPr>
          <w:color w:val="333333"/>
        </w:rPr>
        <w:t>27) ad elaborare, di concerto con le regioni e con gli operatori del settore, un piano strategico per la mobilità urbana nel Meridione, al fine di prevedere specifiche misure di incentivazione per enti locali e/o soggetti privati che intendano realizzare progetti – anche sperimentali – nelle città del Sud Italia;</w:t>
      </w:r>
    </w:p>
    <w:p w:rsidR="00646C55" w:rsidRPr="00646C55" w:rsidRDefault="00646C55" w:rsidP="00646C55">
      <w:pPr>
        <w:pStyle w:val="NormaleWeb"/>
        <w:shd w:val="clear" w:color="auto" w:fill="FFFFFF"/>
        <w:spacing w:line="360" w:lineRule="auto"/>
        <w:jc w:val="both"/>
        <w:rPr>
          <w:color w:val="333333"/>
        </w:rPr>
      </w:pPr>
      <w:r w:rsidRPr="00646C55">
        <w:rPr>
          <w:color w:val="333333"/>
        </w:rPr>
        <w:t>28) ad adoperarsi nelle apposite sedi per un adeguamento e potenziamento dell'infrastruttura ferroviaria nel Mezzogiorno e nelle isole, per la realizzazione dei collegamenti veloci, anche nelle aree più remote o disagiate;</w:t>
      </w:r>
    </w:p>
    <w:p w:rsidR="00646C55" w:rsidRDefault="00646C55" w:rsidP="00646C55">
      <w:pPr>
        <w:pStyle w:val="NormaleWeb"/>
        <w:shd w:val="clear" w:color="auto" w:fill="FFFFFF"/>
        <w:spacing w:line="360" w:lineRule="auto"/>
        <w:jc w:val="both"/>
        <w:rPr>
          <w:color w:val="333333"/>
        </w:rPr>
      </w:pPr>
      <w:r w:rsidRPr="00646C55">
        <w:rPr>
          <w:color w:val="333333"/>
        </w:rPr>
        <w:lastRenderedPageBreak/>
        <w:t>29) a promuovere misure straordinarie di intervento volte a ridurre significativamente il </w:t>
      </w:r>
      <w:proofErr w:type="spellStart"/>
      <w:r w:rsidRPr="00646C55">
        <w:rPr>
          <w:rStyle w:val="Enfasicorsivo"/>
          <w:color w:val="333333"/>
        </w:rPr>
        <w:t>digital</w:t>
      </w:r>
      <w:proofErr w:type="spellEnd"/>
      <w:r w:rsidRPr="00646C55">
        <w:rPr>
          <w:rStyle w:val="Enfasicorsivo"/>
          <w:color w:val="333333"/>
        </w:rPr>
        <w:t xml:space="preserve"> divide</w:t>
      </w:r>
      <w:r w:rsidRPr="00646C55">
        <w:rPr>
          <w:color w:val="333333"/>
        </w:rPr>
        <w:t>, specie in tema di banda larga, che interessa le aree del Mezzogiorno, soprattutto quelle più interne, anche al fine di consentire alle amministrazioni locali l'espletamento di tutte le funzioni e l'erogazione di tutti i servizi per la cittadinanza. </w:t>
      </w:r>
      <w:r w:rsidRPr="00646C55">
        <w:rPr>
          <w:color w:val="333333"/>
        </w:rPr>
        <w:br/>
      </w:r>
    </w:p>
    <w:p w:rsidR="00646C55" w:rsidRPr="00646C55" w:rsidRDefault="00646C55" w:rsidP="00646C55">
      <w:pPr>
        <w:pStyle w:val="NormaleWeb"/>
        <w:shd w:val="clear" w:color="auto" w:fill="FFFFFF"/>
        <w:spacing w:line="360" w:lineRule="auto"/>
        <w:jc w:val="both"/>
        <w:rPr>
          <w:color w:val="333333"/>
        </w:rPr>
      </w:pPr>
      <w:bookmarkStart w:id="0" w:name="_GoBack"/>
      <w:bookmarkEnd w:id="0"/>
      <w:r w:rsidRPr="00646C55">
        <w:rPr>
          <w:color w:val="333333"/>
        </w:rPr>
        <w:t>(1-00065) «D'Uva, Molinari».</w:t>
      </w:r>
    </w:p>
    <w:p w:rsidR="00646C55" w:rsidRPr="00646C55" w:rsidRDefault="00646C55" w:rsidP="00646C55">
      <w:pPr>
        <w:pStyle w:val="NormaleWeb"/>
        <w:shd w:val="clear" w:color="auto" w:fill="FFFFFF"/>
        <w:spacing w:line="360" w:lineRule="auto"/>
        <w:jc w:val="both"/>
        <w:rPr>
          <w:color w:val="333333"/>
        </w:rPr>
      </w:pPr>
    </w:p>
    <w:p w:rsidR="00646C55" w:rsidRPr="00646C55" w:rsidRDefault="00646C55" w:rsidP="00646C55">
      <w:pPr>
        <w:pStyle w:val="NormaleWeb"/>
        <w:shd w:val="clear" w:color="auto" w:fill="FFFFFF"/>
        <w:spacing w:line="360" w:lineRule="auto"/>
        <w:jc w:val="both"/>
        <w:rPr>
          <w:color w:val="333333"/>
        </w:rPr>
      </w:pPr>
    </w:p>
    <w:sectPr w:rsidR="00646C55" w:rsidRPr="00646C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2F"/>
    <w:rsid w:val="000859B4"/>
    <w:rsid w:val="00436AF2"/>
    <w:rsid w:val="00646C55"/>
    <w:rsid w:val="009C6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4170"/>
  <w15:chartTrackingRefBased/>
  <w15:docId w15:val="{C946CEB8-0D8C-4F4D-8FAD-EE431009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36AF2"/>
    <w:rPr>
      <w:color w:val="0000FF"/>
      <w:u w:val="single"/>
    </w:rPr>
  </w:style>
  <w:style w:type="paragraph" w:styleId="NormaleWeb">
    <w:name w:val="Normal (Web)"/>
    <w:basedOn w:val="Normale"/>
    <w:uiPriority w:val="99"/>
    <w:semiHidden/>
    <w:unhideWhenUsed/>
    <w:rsid w:val="00646C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46C55"/>
    <w:rPr>
      <w:i/>
      <w:iCs/>
    </w:rPr>
  </w:style>
  <w:style w:type="paragraph" w:customStyle="1" w:styleId="center">
    <w:name w:val="center"/>
    <w:basedOn w:val="Normale"/>
    <w:rsid w:val="00646C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6C55"/>
    <w:rPr>
      <w:b/>
      <w:bCs/>
    </w:rPr>
  </w:style>
  <w:style w:type="paragraph" w:customStyle="1" w:styleId="intervento">
    <w:name w:val="intervento"/>
    <w:basedOn w:val="Normale"/>
    <w:rsid w:val="00646C5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erventovirtuale">
    <w:name w:val="interventovirtuale"/>
    <w:basedOn w:val="Normale"/>
    <w:rsid w:val="00646C5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79967">
      <w:bodyDiv w:val="1"/>
      <w:marLeft w:val="0"/>
      <w:marRight w:val="0"/>
      <w:marTop w:val="0"/>
      <w:marBottom w:val="0"/>
      <w:divBdr>
        <w:top w:val="none" w:sz="0" w:space="0" w:color="auto"/>
        <w:left w:val="none" w:sz="0" w:space="0" w:color="auto"/>
        <w:bottom w:val="none" w:sz="0" w:space="0" w:color="auto"/>
        <w:right w:val="none" w:sz="0" w:space="0" w:color="auto"/>
      </w:divBdr>
    </w:div>
    <w:div w:id="925382387">
      <w:bodyDiv w:val="1"/>
      <w:marLeft w:val="0"/>
      <w:marRight w:val="0"/>
      <w:marTop w:val="0"/>
      <w:marBottom w:val="0"/>
      <w:divBdr>
        <w:top w:val="none" w:sz="0" w:space="0" w:color="auto"/>
        <w:left w:val="none" w:sz="0" w:space="0" w:color="auto"/>
        <w:bottom w:val="none" w:sz="0" w:space="0" w:color="auto"/>
        <w:right w:val="none" w:sz="0" w:space="0" w:color="auto"/>
      </w:divBdr>
    </w:div>
    <w:div w:id="11793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4544</Words>
  <Characters>25901</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1</cp:revision>
  <dcterms:created xsi:type="dcterms:W3CDTF">2018-10-24T07:22:00Z</dcterms:created>
  <dcterms:modified xsi:type="dcterms:W3CDTF">2018-10-24T08:39:00Z</dcterms:modified>
</cp:coreProperties>
</file>